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TSG-SA5 Meeting #154</w:t>
      </w:r>
      <w:r>
        <w:rPr>
          <w:b/>
          <w:i/>
          <w:sz w:val="24"/>
        </w:rPr>
        <w:t xml:space="preserve"> </w:t>
      </w:r>
      <w:r>
        <w:rPr>
          <w:b/>
          <w:i/>
          <w:sz w:val="28"/>
        </w:rPr>
        <w:tab/>
      </w:r>
      <w:r>
        <w:rPr>
          <w:rFonts w:hint="eastAsia"/>
          <w:b/>
          <w:i/>
          <w:sz w:val="28"/>
        </w:rPr>
        <w:t>S5-241654</w:t>
      </w:r>
    </w:p>
    <w:p>
      <w:pPr>
        <w:pStyle w:val="34"/>
        <w:rPr>
          <w:sz w:val="22"/>
          <w:szCs w:val="22"/>
        </w:rPr>
      </w:pPr>
      <w:r>
        <w:rPr>
          <w:sz w:val="24"/>
        </w:rPr>
        <w:t>Changsha, China, 15 - 19 April 2024</w:t>
      </w:r>
    </w:p>
    <w:p>
      <w:pPr>
        <w:pStyle w:val="82"/>
        <w:outlineLvl w:val="0"/>
        <w:rPr>
          <w:rFonts w:eastAsia="等线"/>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278" w:hRule="atLeast"/>
        </w:trP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eastAsia" w:eastAsiaTheme="minorEastAsia"/>
                <w:b/>
                <w:sz w:val="28"/>
                <w:lang w:val="en-US" w:eastAsia="zh-CN"/>
              </w:rPr>
            </w:pPr>
            <w:r>
              <w:fldChar w:fldCharType="begin"/>
            </w:r>
            <w:r>
              <w:instrText xml:space="preserve"> DOCPROPERTY  Spec#  \* MERGEFORMAT </w:instrText>
            </w:r>
            <w:r>
              <w:fldChar w:fldCharType="separate"/>
            </w:r>
            <w:r>
              <w:rPr>
                <w:b/>
                <w:sz w:val="28"/>
              </w:rPr>
              <w:t>32.2</w:t>
            </w:r>
            <w:r>
              <w:rPr>
                <w:rFonts w:hint="eastAsia"/>
                <w:b/>
                <w:sz w:val="28"/>
                <w:lang w:val="en-US" w:eastAsia="zh-CN"/>
              </w:rPr>
              <w:t>40</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lang w:val="en-US"/>
              </w:rPr>
            </w:pPr>
            <w:r>
              <w:rPr>
                <w:rFonts w:hint="eastAsia"/>
                <w:b/>
                <w:sz w:val="28"/>
                <w:lang w:val="en-US" w:eastAsia="zh-CN"/>
              </w:rPr>
              <w:t>0488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Theme="minorEastAsia"/>
                <w:b/>
                <w:lang w:val="en-US"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6</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Correction of reference for 5MBS charging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val="en-US" w:eastAsia="zh-CN"/>
              </w:rPr>
            </w:pPr>
            <w:r>
              <w:fldChar w:fldCharType="begin"/>
            </w:r>
            <w:r>
              <w:instrText xml:space="preserve"> DOCPROPERTY  SourceIfWg  \* MERGEFORMAT </w:instrText>
            </w:r>
            <w:r>
              <w:fldChar w:fldCharType="separate"/>
            </w:r>
            <w:r>
              <w:t>China Mobile Com.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Theme="minorEastAsia"/>
                <w:lang w:val="en-US" w:eastAsia="zh-CN"/>
              </w:rPr>
            </w:pPr>
            <w:r>
              <w:rPr>
                <w:rFonts w:hint="eastAsia"/>
                <w:lang w:val="en-US" w:eastAsia="zh-CN"/>
              </w:rPr>
              <w:t>5MBS_CH</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04</w:t>
            </w:r>
            <w:r>
              <w:t>-</w:t>
            </w:r>
            <w:r>
              <w:rPr>
                <w:rFonts w:hint="eastAsia"/>
                <w:lang w:val="en-US" w:eastAsia="zh-CN"/>
              </w:rPr>
              <w:t>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Theme="minorEastAsia"/>
                <w:b/>
                <w:lang w:val="en-US" w:eastAsia="zh-CN"/>
              </w:rPr>
            </w:pPr>
            <w:r>
              <w:rPr>
                <w:rFonts w:hint="eastAsia"/>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93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lang w:val="en-US" w:eastAsia="zh-CN"/>
              </w:rPr>
              <w:t>Based on the conclusion of SA5#151 meeting, a new charging specification TS 32.279 specifies charging enhancement for MB-SMF to support 5MBS charging. Therefore, the reference for 5MBS charging in TS 32.240 should be changed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70" w:hRule="atLeast"/>
        </w:trP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Correct the reference for 5MBS charging.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rFonts w:hint="eastAsia"/>
                <w:lang w:val="en-US" w:eastAsia="zh-CN"/>
              </w:rPr>
              <w:t>Reference for 5MBS charging is missing</w:t>
            </w:r>
            <w:r>
              <w:rPr>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1,2,4.4.3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lang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2" w:name="_Toc523517601"/>
            <w:bookmarkStart w:id="3" w:name="_Toc532894859"/>
            <w:r>
              <w:rPr>
                <w:rFonts w:ascii="Arial" w:hAnsi="Arial" w:cs="Arial"/>
                <w:b/>
                <w:bCs/>
                <w:sz w:val="28"/>
                <w:szCs w:val="28"/>
                <w:lang w:eastAsia="zh-CN"/>
              </w:rPr>
              <w:t>First</w:t>
            </w:r>
            <w:r>
              <w:rPr>
                <w:rFonts w:ascii="Arial" w:hAnsi="Arial" w:cs="Arial"/>
                <w:b/>
                <w:bCs/>
                <w:sz w:val="28"/>
                <w:szCs w:val="28"/>
              </w:rPr>
              <w:t xml:space="preserve"> change</w:t>
            </w:r>
          </w:p>
        </w:tc>
      </w:tr>
      <w:bookmarkEnd w:id="2"/>
      <w:bookmarkEnd w:id="3"/>
    </w:tbl>
    <w:p>
      <w:pPr>
        <w:pStyle w:val="2"/>
      </w:pPr>
      <w:bookmarkStart w:id="4" w:name="_Toc163044918"/>
      <w:bookmarkStart w:id="5" w:name="OLE_LINK9"/>
      <w:r>
        <w:t>1</w:t>
      </w:r>
      <w:r>
        <w:tab/>
      </w:r>
      <w:r>
        <w:t>Scope</w:t>
      </w:r>
      <w:bookmarkEnd w:id="4"/>
    </w:p>
    <w:p>
      <w:r>
        <w:t>The present document is part of a series of documents that specify charging functionality and charging management in 3GPP networks/systems. The 3GPP core network charging architecture and principles are specified in the present document, which thus provides an umbrella for other charging management TSs that specify:</w:t>
      </w:r>
    </w:p>
    <w:p>
      <w:pPr>
        <w:pStyle w:val="76"/>
      </w:pPr>
      <w:r>
        <w:t>-</w:t>
      </w:r>
      <w:r>
        <w:tab/>
      </w:r>
      <w:r>
        <w:t>the content of the CDRs per domain / subsystem /service (offline and converged charging);</w:t>
      </w:r>
    </w:p>
    <w:p>
      <w:pPr>
        <w:pStyle w:val="76"/>
      </w:pPr>
      <w:r>
        <w:t>-</w:t>
      </w:r>
      <w:r>
        <w:tab/>
      </w:r>
      <w:r>
        <w:t>the content of real-time charging events per domain / subsystem /service (online and converged charging);</w:t>
      </w:r>
    </w:p>
    <w:p>
      <w:pPr>
        <w:pStyle w:val="76"/>
      </w:pPr>
      <w:r>
        <w:t>-</w:t>
      </w:r>
      <w:r>
        <w:tab/>
      </w:r>
      <w:r>
        <w:t>the functionality of online, offline and converged charging for those domains / subsystems / services;</w:t>
      </w:r>
    </w:p>
    <w:p>
      <w:pPr>
        <w:pStyle w:val="76"/>
        <w:rPr>
          <w:color w:val="000000"/>
        </w:rPr>
      </w:pPr>
      <w:r>
        <w:t>-</w:t>
      </w:r>
      <w:r>
        <w:tab/>
      </w:r>
      <w:r>
        <w:t>the interfaces that are used in the charging framework to transfer the charging information (i.e. CDRs or charging events</w:t>
      </w:r>
      <w:r>
        <w:rPr>
          <w:color w:val="000000"/>
        </w:rPr>
        <w:t>).</w:t>
      </w:r>
    </w:p>
    <w:p>
      <w:r>
        <w:t>The purposes of the present document are:</w:t>
      </w:r>
    </w:p>
    <w:p>
      <w:pPr>
        <w:pStyle w:val="76"/>
      </w:pPr>
      <w:r>
        <w:t>-</w:t>
      </w:r>
      <w:r>
        <w:tab/>
      </w:r>
      <w:r>
        <w:t>to lay down common principles of charging in the network; and</w:t>
      </w:r>
    </w:p>
    <w:p>
      <w:pPr>
        <w:pStyle w:val="76"/>
      </w:pPr>
      <w:r>
        <w:t>-</w:t>
      </w:r>
      <w:r>
        <w:tab/>
      </w:r>
      <w:r>
        <w:t>to specify a logical common charging architecture that applies to all 3GPP domains, subsystems and services.</w:t>
      </w:r>
    </w:p>
    <w:p>
      <w:r>
        <w:t>A set of domain/subsystem/service specific TSs covers the domains (CS, PS, 5GS), subsystem (IMS) and service (MMS, LCS, PoC, MBMS, SMS, MMTel, TSN etc.) levels, respectively, in the TS 32.25x, TS 32.26x, TS 32.27x and TS 32.28x TS number ranges. Network Slicing is covered under TS 28.201[70], TS 28.202 [71], TS 28.203 [72] and TS 28.204 [73].These TSs describe the mapping of the common architecture specified in the present document onto the specific domain/subsystem/service and the scenarios and information for online and offline charging that are specific to the domain/subsystem/service. They are commonly referred to as the middle tier charging TSs.</w:t>
      </w:r>
    </w:p>
    <w:p>
      <w:r>
        <w:t xml:space="preserve">A set of TSs in the TS 32.28x range covers common services, such as the Advice of Charge service. </w:t>
      </w:r>
    </w:p>
    <w:p>
      <w:r>
        <w:t>A set of TSs in the TS 32.29x range covers common aspects, such as CDR parameter and syntax descriptions, online and offline charging applications, and the charging interactions within the network (CDR transfer) as well as between the network and the Billing Domain (CDR file transfer).</w:t>
      </w:r>
    </w:p>
    <w:p>
      <w:r>
        <w:t>The complete document structure for these TSs is outlined in the following figure 1.1:</w:t>
      </w:r>
    </w:p>
    <w:p>
      <w:pPr>
        <w:pStyle w:val="56"/>
      </w:pPr>
      <w:ins w:id="0" w:author="dj" w:date="2024-04-07T10:32:04Z">
        <w:bookmarkStart w:id="6" w:name="_Hlk64883468"/>
      </w:ins>
      <w:ins w:id="1" w:author="dj" w:date="2024-04-07T10:32:04Z"/>
      <w:ins w:id="2" w:author="dj" w:date="2024-04-07T10:32:04Z"/>
      <w:ins w:id="3" w:author="dj" w:date="2024-04-07T10:32:04Z">
        <w:r>
          <w:rPr/>
          <w:object>
            <v:shape id="_x0000_i1025" o:spt="75" type="#_x0000_t75" style="height:567.2pt;width:493.2pt;" o:ole="t" filled="f" o:preferrelative="t" stroked="f" coordsize="21600,21600">
              <v:path/>
              <v:fill on="f" focussize="0,0"/>
              <v:stroke on="f"/>
              <v:imagedata r:id="rId10" o:title=""/>
              <o:lock v:ext="edit" aspectratio="t"/>
              <w10:wrap type="none"/>
              <w10:anchorlock/>
            </v:shape>
            <o:OLEObject Type="Embed" ProgID="Visio.Drawing.11" ShapeID="_x0000_i1025" DrawAspect="Content" ObjectID="_1468075725" r:id="rId9">
              <o:LockedField>false</o:LockedField>
            </o:OLEObject>
          </w:object>
        </w:r>
      </w:ins>
      <w:ins w:id="5" w:author="dj" w:date="2024-04-07T10:32:04Z"/>
      <w:del w:id="6" w:author="dj" w:date="2024-04-07T10:32:04Z"/>
      <w:del w:id="7" w:author="dj" w:date="2024-04-07T10:32:04Z"/>
      <w:del w:id="8" w:author="dj" w:date="2024-04-07T10:32:04Z"/>
      <w:del w:id="9" w:author="dj" w:date="2024-04-07T10:32:04Z">
        <w:r>
          <w:rPr/>
          <w:object>
            <v:shape id="_x0000_i1026" o:spt="75" type="#_x0000_t75" style="height:514.05pt;width:446.95pt;" o:ole="t" filled="f" o:preferrelative="t" stroked="f" coordsize="21600,21600">
              <v:path/>
              <v:fill on="f" focussize="0,0"/>
              <v:stroke on="f"/>
              <v:imagedata r:id="rId12" o:title=""/>
              <o:lock v:ext="edit" aspectratio="t"/>
              <w10:wrap type="none"/>
              <w10:anchorlock/>
            </v:shape>
            <o:OLEObject Type="Embed" ProgID="Visio.Drawing.11" ShapeID="_x0000_i1026" DrawAspect="Content" ObjectID="_1468075726" r:id="rId11">
              <o:LockedField>false</o:LockedField>
            </o:OLEObject>
          </w:object>
        </w:r>
      </w:del>
      <w:del w:id="11" w:author="dj" w:date="2024-04-07T10:32:04Z">
        <w:bookmarkEnd w:id="6"/>
      </w:del>
      <w:r>
        <w:t>Figure 1.1: Charging specifications structure</w:t>
      </w:r>
    </w:p>
    <w:p>
      <w:pPr>
        <w:rPr>
          <w:color w:val="000000"/>
          <w:lang w:bidi="ar-IQ"/>
        </w:rPr>
      </w:pPr>
      <w:r>
        <w:t xml:space="preserve">In addition to 3GPP  core networks/systems charging architecture and principles, this document </w:t>
      </w:r>
      <w:r>
        <w:rPr>
          <w:color w:val="000000"/>
          <w:lang w:bidi="ar-IQ"/>
        </w:rPr>
        <w:t>encompasses</w:t>
      </w:r>
      <w:r>
        <w:t xml:space="preserve"> charging architecture and principles for the </w:t>
      </w:r>
      <w:r>
        <w:rPr>
          <w:color w:val="000000"/>
          <w:lang w:bidi="ar-IQ"/>
        </w:rPr>
        <w:t xml:space="preserve">convergent scenario (i.e. both the Fixed Broadband Access network and Evolved Packet Core (EPC) owned by a single </w:t>
      </w:r>
      <w:r>
        <w:rPr>
          <w:lang w:bidi="ar-IQ"/>
        </w:rPr>
        <w:t>operator)</w:t>
      </w:r>
      <w:r>
        <w:rPr>
          <w:color w:val="000000"/>
          <w:lang w:bidi="ar-IQ"/>
        </w:rPr>
        <w:t xml:space="preserve">, which is specified in annex C.  </w:t>
      </w:r>
    </w:p>
    <w:p>
      <w:r>
        <w:t>All terms, definitions and abbreviations used in the present document, that are common across 3GPP TSs, are defined in the 3GPP Vocabulary, TR 21.905 [100]. Those that are common across charging management in 3GPP network domains, services or subsystems are provided in the present document (umbrella TS), and are copied into clause 3 of the other TSs depicted in the figure 1.1, for ease of reading. Finally, those items that are specific to the present document are defined exclusively in the present document.</w:t>
      </w:r>
    </w:p>
    <w:p>
      <w:r>
        <w:t>Furthermore, requirements that govern the charging work are specified in TS 22.115 [101].</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2"/>
      </w:pPr>
      <w:bookmarkStart w:id="7" w:name="_Toc163044919"/>
      <w:bookmarkStart w:id="8" w:name="_Toc163044979"/>
      <w:bookmarkStart w:id="9" w:name="_Hlk69216862"/>
      <w:bookmarkStart w:id="10" w:name="_Hlk69215939"/>
      <w:r>
        <w:t>2</w:t>
      </w:r>
      <w:r>
        <w:tab/>
      </w:r>
      <w:r>
        <w:t>References</w:t>
      </w:r>
      <w:bookmarkEnd w:id="7"/>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pPr>
        <w:pStyle w:val="58"/>
      </w:pPr>
      <w:r>
        <w:t>[1] - [9]</w:t>
      </w:r>
      <w:r>
        <w:tab/>
      </w:r>
      <w:r>
        <w:t>Void.</w:t>
      </w:r>
    </w:p>
    <w:p>
      <w:pPr>
        <w:pStyle w:val="58"/>
        <w:rPr>
          <w:lang w:eastAsia="de-DE"/>
        </w:rPr>
      </w:pPr>
      <w:r>
        <w:rPr>
          <w:lang w:eastAsia="de-DE"/>
        </w:rPr>
        <w:t>[10]</w:t>
      </w:r>
      <w:r>
        <w:rPr>
          <w:lang w:eastAsia="de-DE"/>
        </w:rPr>
        <w:tab/>
      </w:r>
      <w:r>
        <w:rPr>
          <w:lang w:eastAsia="de-DE"/>
        </w:rPr>
        <w:t>3GPP TS 32.250: "Telecommunication management; Charging management; Circuit Switched (CS) domain charging".</w:t>
      </w:r>
    </w:p>
    <w:p>
      <w:pPr>
        <w:pStyle w:val="58"/>
        <w:rPr>
          <w:lang w:eastAsia="de-DE"/>
        </w:rPr>
      </w:pPr>
      <w:r>
        <w:rPr>
          <w:lang w:eastAsia="de-DE"/>
        </w:rPr>
        <w:t>[11]</w:t>
      </w:r>
      <w:r>
        <w:rPr>
          <w:lang w:eastAsia="de-DE"/>
        </w:rPr>
        <w:tab/>
      </w:r>
      <w:r>
        <w:rPr>
          <w:lang w:eastAsia="de-DE"/>
        </w:rPr>
        <w:t>3GPP TS 32.251: "Telecommunication management; Charging management; Packet Switched (PS) domain charging".</w:t>
      </w:r>
    </w:p>
    <w:p>
      <w:pPr>
        <w:pStyle w:val="58"/>
        <w:rPr>
          <w:lang w:eastAsia="de-DE"/>
        </w:rPr>
      </w:pPr>
      <w:r>
        <w:t>[12]</w:t>
      </w:r>
      <w:r>
        <w:tab/>
      </w:r>
      <w:r>
        <w:rPr>
          <w:lang w:eastAsia="de-DE"/>
        </w:rPr>
        <w:t>Void.</w:t>
      </w:r>
    </w:p>
    <w:p>
      <w:pPr>
        <w:pStyle w:val="58"/>
        <w:rPr>
          <w:lang w:eastAsia="de-DE"/>
        </w:rPr>
      </w:pPr>
      <w:r>
        <w:t>[13]</w:t>
      </w:r>
      <w:r>
        <w:tab/>
      </w:r>
      <w:r>
        <w:rPr>
          <w:lang w:eastAsia="de-DE"/>
        </w:rPr>
        <w:t>3GPP TS 32.253: "Telecommunication management; Charging management; Control Plane (CP) data transfer domain charging".</w:t>
      </w:r>
    </w:p>
    <w:p>
      <w:pPr>
        <w:pStyle w:val="58"/>
        <w:rPr>
          <w:lang w:eastAsia="de-DE"/>
        </w:rPr>
      </w:pPr>
      <w:r>
        <w:t>[14]</w:t>
      </w:r>
      <w:r>
        <w:tab/>
      </w:r>
      <w:r>
        <w:rPr>
          <w:lang w:eastAsia="de-DE"/>
        </w:rPr>
        <w:t>3GPP TS 32.254: "Telecommunication management; Charging management; Exposure function Northbound Application Program Interfaces (APIs) charging".</w:t>
      </w:r>
    </w:p>
    <w:p>
      <w:pPr>
        <w:pStyle w:val="58"/>
        <w:rPr>
          <w:lang w:eastAsia="de-DE"/>
        </w:rPr>
      </w:pPr>
      <w:r>
        <w:t>[15]</w:t>
      </w:r>
      <w:r>
        <w:tab/>
      </w:r>
      <w:r>
        <w:rPr>
          <w:lang w:eastAsia="de-DE"/>
        </w:rPr>
        <w:t>3GPP TS 32.255: "Telecommunication management; Charging management; 5G Data connectivity domain charging; stage 2".</w:t>
      </w:r>
    </w:p>
    <w:p>
      <w:pPr>
        <w:pStyle w:val="58"/>
      </w:pPr>
      <w:r>
        <w:t>[16]</w:t>
      </w:r>
      <w:r>
        <w:tab/>
      </w:r>
      <w:r>
        <w:t>3GPP TS 32.256: "Telecommunication management; Charging management; 5G connection and mobility domain charging; stage 2".</w:t>
      </w:r>
    </w:p>
    <w:p>
      <w:pPr>
        <w:pStyle w:val="58"/>
      </w:pPr>
      <w:r>
        <w:t>[17]</w:t>
      </w:r>
      <w:r>
        <w:tab/>
      </w:r>
      <w:r>
        <w:t>3GPP TS 32.257: "Telecommunication management; Charging management; Edge Computing domain charging".</w:t>
      </w:r>
    </w:p>
    <w:p>
      <w:pPr>
        <w:pStyle w:val="58"/>
      </w:pPr>
      <w:r>
        <w:t>[18] - [19]</w:t>
      </w:r>
      <w:r>
        <w:tab/>
      </w:r>
      <w:r>
        <w:t>Void.</w:t>
      </w:r>
    </w:p>
    <w:p>
      <w:pPr>
        <w:pStyle w:val="58"/>
      </w:pPr>
      <w:r>
        <w:t>[20]</w:t>
      </w:r>
      <w:r>
        <w:tab/>
      </w:r>
      <w:r>
        <w:t>3GPP TS 32.260: "Telecommunication management; Charging management; IP Multimedia Subsystem (IMS) charging".</w:t>
      </w:r>
    </w:p>
    <w:p>
      <w:pPr>
        <w:pStyle w:val="58"/>
      </w:pPr>
      <w:r>
        <w:t>[21] - [29]</w:t>
      </w:r>
      <w:r>
        <w:tab/>
      </w:r>
      <w:r>
        <w:t>Void.</w:t>
      </w:r>
    </w:p>
    <w:p>
      <w:pPr>
        <w:pStyle w:val="58"/>
        <w:rPr>
          <w:lang w:eastAsia="de-DE"/>
        </w:rPr>
      </w:pPr>
      <w:r>
        <w:rPr>
          <w:lang w:eastAsia="de-DE"/>
        </w:rPr>
        <w:t>[30]</w:t>
      </w:r>
      <w:r>
        <w:rPr>
          <w:lang w:eastAsia="de-DE"/>
        </w:rPr>
        <w:tab/>
      </w:r>
      <w:r>
        <w:rPr>
          <w:lang w:eastAsia="de-DE"/>
        </w:rPr>
        <w:t>3GPP TS 32.270: "Telecommunication management; Charging management; Multimedia Messaging Service (MMS) charging".</w:t>
      </w:r>
    </w:p>
    <w:p>
      <w:pPr>
        <w:pStyle w:val="58"/>
      </w:pPr>
      <w:r>
        <w:t xml:space="preserve">[31] </w:t>
      </w:r>
      <w:r>
        <w:tab/>
      </w:r>
      <w:r>
        <w:rPr>
          <w:lang w:eastAsia="de-DE"/>
        </w:rPr>
        <w:t>3GPP TS 32.271: "Telecommunication management; Charging management; Location Services (LCS) charging".</w:t>
      </w:r>
    </w:p>
    <w:p>
      <w:pPr>
        <w:pStyle w:val="58"/>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(PoC) charging".</w:t>
      </w:r>
    </w:p>
    <w:p>
      <w:pPr>
        <w:pStyle w:val="58"/>
        <w:rPr>
          <w:lang w:eastAsia="de-DE"/>
        </w:rPr>
      </w:pPr>
      <w:r>
        <w:rPr>
          <w:color w:val="000000"/>
        </w:rPr>
        <w:t>[33]</w:t>
      </w:r>
      <w:r>
        <w:rPr>
          <w:color w:val="000000"/>
        </w:rPr>
        <w:tab/>
      </w:r>
      <w:r>
        <w:rPr>
          <w:color w:val="000000"/>
        </w:rPr>
        <w:t>3GPP TS 32.273</w:t>
      </w:r>
      <w:r>
        <w:rPr>
          <w:lang w:eastAsia="de-DE"/>
        </w:rPr>
        <w:t>: "Telecommunication management; Charging management; Multimedia Broadcast and Multicast Service (MBMS) charging".</w:t>
      </w:r>
    </w:p>
    <w:p>
      <w:pPr>
        <w:pStyle w:val="58"/>
        <w:rPr>
          <w:lang w:eastAsia="de-DE"/>
        </w:rPr>
      </w:pPr>
      <w:r>
        <w:rPr>
          <w:color w:val="000000"/>
        </w:rPr>
        <w:t>[34]</w:t>
      </w:r>
      <w:r>
        <w:rPr>
          <w:color w:val="000000"/>
        </w:rPr>
        <w:tab/>
      </w:r>
      <w:r>
        <w:rPr>
          <w:color w:val="000000"/>
        </w:rPr>
        <w:t>3GPP TS 32.274</w:t>
      </w:r>
      <w:r>
        <w:rPr>
          <w:lang w:eastAsia="de-DE"/>
        </w:rPr>
        <w:t>: "Telecommunication management; Charging management; Short Message Service (SMS) charging".</w:t>
      </w:r>
    </w:p>
    <w:p>
      <w:pPr>
        <w:pStyle w:val="58"/>
        <w:rPr>
          <w:lang w:eastAsia="de-DE"/>
        </w:rPr>
      </w:pPr>
      <w:r>
        <w:rPr>
          <w:lang w:eastAsia="de-DE"/>
        </w:rPr>
        <w:t>[35]</w:t>
      </w:r>
      <w:r>
        <w:rPr>
          <w:lang w:eastAsia="de-DE"/>
        </w:rPr>
        <w:tab/>
      </w:r>
      <w:r>
        <w:rPr>
          <w:lang w:eastAsia="de-DE"/>
        </w:rPr>
        <w:t>3GPP TS 32.275: "Telecommunication management; Charging management; MultiMedia Telephony (MMTel) charging".</w:t>
      </w:r>
    </w:p>
    <w:p>
      <w:pPr>
        <w:pStyle w:val="58"/>
      </w:pPr>
      <w:r>
        <w:t xml:space="preserve">[36] </w:t>
      </w:r>
      <w:r>
        <w:tab/>
      </w:r>
      <w:r>
        <w:t>3GPP TS 32.276: "Telecommunication management; Charging management; Voice Call Service Charging".</w:t>
      </w:r>
    </w:p>
    <w:p>
      <w:pPr>
        <w:pStyle w:val="58"/>
      </w:pPr>
      <w:r>
        <w:t xml:space="preserve">[37] </w:t>
      </w:r>
      <w:r>
        <w:tab/>
      </w:r>
      <w:r>
        <w:t>3GPP TS 32.277: "Telecommunication management; Charging management; Proximity-based Services (ProSe) Charging".</w:t>
      </w:r>
    </w:p>
    <w:p>
      <w:pPr>
        <w:pStyle w:val="58"/>
      </w:pPr>
      <w:r>
        <w:t xml:space="preserve">[38] </w:t>
      </w:r>
      <w:r>
        <w:tab/>
      </w:r>
      <w:r>
        <w:t>3GPP TS 32.278: "Telecommunication management; Charging management; Monitoring Event charging".</w:t>
      </w:r>
    </w:p>
    <w:p>
      <w:pPr>
        <w:pStyle w:val="58"/>
      </w:pPr>
      <w:r>
        <w:t>[39]</w:t>
      </w:r>
      <w:r>
        <w:tab/>
      </w:r>
      <w:ins w:id="12" w:author="dj" w:date="2024-04-07T09:43:56Z">
        <w:r>
          <w:rPr/>
          <w:t>3GPP TS 32.27</w:t>
        </w:r>
      </w:ins>
      <w:ins w:id="13" w:author="dj" w:date="2024-04-07T09:44:00Z">
        <w:r>
          <w:rPr>
            <w:rFonts w:hint="eastAsia"/>
            <w:lang w:val="en-US" w:eastAsia="zh-CN"/>
          </w:rPr>
          <w:t>9</w:t>
        </w:r>
      </w:ins>
      <w:ins w:id="14" w:author="dj" w:date="2024-04-07T09:43:56Z">
        <w:r>
          <w:rPr/>
          <w:t>: "</w:t>
        </w:r>
      </w:ins>
      <w:ins w:id="15" w:author="dj" w:date="2024-04-07T09:44:21Z">
        <w:r>
          <w:rPr>
            <w:rFonts w:hint="eastAsia"/>
          </w:rPr>
          <w:t>5G Multicast-broadcast Services charging</w:t>
        </w:r>
      </w:ins>
      <w:ins w:id="16" w:author="dj" w:date="2024-04-07T09:44:35Z">
        <w:r>
          <w:rPr>
            <w:lang w:eastAsia="de-DE"/>
          </w:rPr>
          <w:t>; stage 2</w:t>
        </w:r>
      </w:ins>
      <w:ins w:id="17" w:author="dj" w:date="2024-04-07T09:43:56Z">
        <w:r>
          <w:rPr/>
          <w:t>".</w:t>
        </w:r>
      </w:ins>
      <w:del w:id="18" w:author="dj" w:date="2024-04-07T09:43:56Z">
        <w:r>
          <w:rPr/>
          <w:delText>Void.</w:delText>
        </w:r>
      </w:del>
    </w:p>
    <w:p>
      <w:pPr>
        <w:pStyle w:val="58"/>
      </w:pPr>
      <w:r>
        <w:t>[40]</w:t>
      </w:r>
      <w:r>
        <w:tab/>
      </w:r>
      <w:r>
        <w:t>3GPP TS 32.280: "Telecommunication management; Charging management; Advice of Charge (AoC) service".</w:t>
      </w:r>
    </w:p>
    <w:p>
      <w:pPr>
        <w:pStyle w:val="58"/>
      </w:pPr>
      <w:r>
        <w:t>[41]</w:t>
      </w:r>
      <w:r>
        <w:tab/>
      </w:r>
      <w:r>
        <w:t>3GPP TS 32.281: "Telecommunication management; Charging management; Announcement service".</w:t>
      </w:r>
    </w:p>
    <w:p>
      <w:pPr>
        <w:pStyle w:val="58"/>
      </w:pPr>
      <w:r>
        <w:t>[42]</w:t>
      </w:r>
      <w:r>
        <w:tab/>
      </w:r>
      <w:r>
        <w:t>3GPP </w:t>
      </w:r>
      <w:r>
        <w:rPr>
          <w:rFonts w:hint="eastAsia"/>
          <w:lang w:eastAsia="zh-CN"/>
        </w:rPr>
        <w:t>TS</w:t>
      </w:r>
      <w:r>
        <w:t> 32.282</w:t>
      </w:r>
      <w:r>
        <w:rPr>
          <w:rFonts w:hint="eastAsia"/>
          <w:lang w:eastAsia="zh-CN"/>
        </w:rPr>
        <w:t xml:space="preserve">: </w:t>
      </w:r>
      <w:r>
        <w:rPr>
          <w:color w:val="000000"/>
        </w:rPr>
        <w:t>"</w:t>
      </w:r>
      <w:r>
        <w:t>Charging management; Time-Sensitive Networking (TSN) charging</w:t>
      </w:r>
      <w:r>
        <w:rPr>
          <w:color w:val="000000"/>
        </w:rPr>
        <w:t>".</w:t>
      </w:r>
    </w:p>
    <w:p>
      <w:pPr>
        <w:pStyle w:val="58"/>
      </w:pPr>
      <w:r>
        <w:t>[43] - [49]</w:t>
      </w:r>
      <w:r>
        <w:tab/>
      </w:r>
      <w:r>
        <w:t>Void.</w:t>
      </w:r>
    </w:p>
    <w:p>
      <w:pPr>
        <w:pStyle w:val="58"/>
      </w:pPr>
      <w:r>
        <w:t>[50]</w:t>
      </w:r>
      <w:r>
        <w:tab/>
      </w:r>
      <w:r>
        <w:t>3GPP TS 32.299: "Telecommunication management; Charging management; Diameter charging application".</w:t>
      </w:r>
    </w:p>
    <w:p>
      <w:pPr>
        <w:pStyle w:val="58"/>
      </w:pPr>
      <w:r>
        <w:t>[51]</w:t>
      </w:r>
      <w:r>
        <w:tab/>
      </w:r>
      <w:r>
        <w:t>3GPP TS 32.298: "Telecommunication management; Charging management; Charging Data Record (CDR) parameter description".</w:t>
      </w:r>
    </w:p>
    <w:p>
      <w:pPr>
        <w:pStyle w:val="58"/>
      </w:pPr>
      <w:r>
        <w:t>[52]</w:t>
      </w:r>
      <w:r>
        <w:tab/>
      </w:r>
      <w:r>
        <w:t>3GPP TS 32.297: "Telecommunication management; Charging management; Charging Data Record (CDR) file format and transfer".</w:t>
      </w:r>
    </w:p>
    <w:p>
      <w:pPr>
        <w:pStyle w:val="58"/>
      </w:pPr>
      <w:r>
        <w:t>[53]</w:t>
      </w:r>
      <w:r>
        <w:tab/>
      </w:r>
      <w:r>
        <w:t>3GPP TS 32.296: "Telecommunication management; Charging management; Online Charging System (OCS) applications and interfaces".</w:t>
      </w:r>
    </w:p>
    <w:p>
      <w:pPr>
        <w:pStyle w:val="58"/>
      </w:pPr>
      <w:r>
        <w:t>[54]</w:t>
      </w:r>
      <w:r>
        <w:tab/>
      </w:r>
      <w:r>
        <w:t>3GPP TS 32.295: "Telecommunication management; Charging management; Charging Data Record (CDR) transfer".</w:t>
      </w:r>
    </w:p>
    <w:p>
      <w:pPr>
        <w:pStyle w:val="58"/>
      </w:pPr>
      <w:r>
        <w:t xml:space="preserve">[55] </w:t>
      </w:r>
      <w:r>
        <w:tab/>
      </w:r>
      <w:r>
        <w:t>Void.</w:t>
      </w:r>
    </w:p>
    <w:p>
      <w:pPr>
        <w:pStyle w:val="58"/>
      </w:pPr>
      <w:r>
        <w:t>[56]</w:t>
      </w:r>
      <w:r>
        <w:tab/>
      </w:r>
      <w:r>
        <w:t>3GPP TS 32.293: "Telecommunication management; Charging management; Proxy Function".</w:t>
      </w:r>
    </w:p>
    <w:p>
      <w:pPr>
        <w:pStyle w:val="58"/>
      </w:pPr>
      <w:r>
        <w:t>[57]</w:t>
      </w:r>
      <w:r>
        <w:tab/>
      </w:r>
      <w:r>
        <w:t xml:space="preserve">3GPP TS 32.290: "Telecommunication management; Charging management; 5G system; Services, operations and procedures of charging using Service Based Interface (SBI)". </w:t>
      </w:r>
    </w:p>
    <w:p>
      <w:pPr>
        <w:pStyle w:val="58"/>
      </w:pPr>
      <w:r>
        <w:t>[58]</w:t>
      </w:r>
      <w:r>
        <w:tab/>
      </w:r>
      <w:r>
        <w:t>3GPP TS 32.291: "Telecommunication management; Charging management; 5G system; Charging service, stage 3".</w:t>
      </w:r>
    </w:p>
    <w:p>
      <w:pPr>
        <w:pStyle w:val="58"/>
      </w:pPr>
      <w:r>
        <w:t>[59] - [69]</w:t>
      </w:r>
      <w:r>
        <w:tab/>
      </w:r>
      <w:r>
        <w:t>Void.</w:t>
      </w:r>
    </w:p>
    <w:p>
      <w:pPr>
        <w:pStyle w:val="58"/>
      </w:pPr>
      <w:r>
        <w:t>[70]</w:t>
      </w:r>
      <w:r>
        <w:tab/>
      </w:r>
      <w:r>
        <w:t>3GPP TS 28.201: "Charging management; Network slice performance and analytics charging in the 5G System (5GS); Stage 2".</w:t>
      </w:r>
    </w:p>
    <w:p>
      <w:pPr>
        <w:pStyle w:val="58"/>
      </w:pPr>
      <w:r>
        <w:t>[71]</w:t>
      </w:r>
      <w:r>
        <w:tab/>
      </w:r>
      <w:r>
        <w:t>3GPP TS 28.202: "Charging management; Network slice management charging in the 5G System (5GS); Stage 2".</w:t>
      </w:r>
    </w:p>
    <w:p>
      <w:pPr>
        <w:pStyle w:val="58"/>
      </w:pPr>
      <w:r>
        <w:t>[72]</w:t>
      </w:r>
      <w:r>
        <w:tab/>
      </w:r>
      <w:r>
        <w:t>3GPP TS 28.203: "Charging management; Network slice admission control charging in the 5G System (5GS)".</w:t>
      </w:r>
    </w:p>
    <w:p>
      <w:pPr>
        <w:pStyle w:val="58"/>
      </w:pPr>
      <w:r>
        <w:t>[73]</w:t>
      </w:r>
      <w:r>
        <w:tab/>
      </w:r>
      <w:r>
        <w:t>3GPP TS 28.204: "Charging management; Network slice-specific authentication and authorization charging in the 5G System (5GS); Stage 2".</w:t>
      </w:r>
    </w:p>
    <w:p>
      <w:pPr>
        <w:pStyle w:val="58"/>
      </w:pPr>
      <w:r>
        <w:t>[74] - [99]</w:t>
      </w:r>
      <w:r>
        <w:tab/>
      </w:r>
      <w:r>
        <w:t xml:space="preserve">Void. </w:t>
      </w:r>
    </w:p>
    <w:p>
      <w:pPr>
        <w:pStyle w:val="58"/>
      </w:pPr>
      <w:r>
        <w:t>[100]</w:t>
      </w:r>
      <w:r>
        <w:tab/>
      </w:r>
      <w:r>
        <w:t>3GPP TR 21.905: "Vocabulary for 3GPP Specifications".</w:t>
      </w:r>
    </w:p>
    <w:p>
      <w:pPr>
        <w:pStyle w:val="58"/>
      </w:pPr>
      <w:r>
        <w:t>[101]</w:t>
      </w:r>
      <w:r>
        <w:tab/>
      </w:r>
      <w:r>
        <w:t>3GPP TS 22.115: "Service aspects; Charging and billing".</w:t>
      </w:r>
    </w:p>
    <w:p>
      <w:pPr>
        <w:pStyle w:val="58"/>
        <w:keepLines w:val="0"/>
        <w:widowControl w:val="0"/>
        <w:rPr>
          <w:lang w:eastAsia="de-DE"/>
        </w:rPr>
      </w:pPr>
      <w:r>
        <w:t xml:space="preserve">[102] - </w:t>
      </w:r>
      <w:r>
        <w:rPr>
          <w:lang w:eastAsia="de-DE"/>
        </w:rPr>
        <w:t>[199]</w:t>
      </w:r>
      <w:r>
        <w:rPr>
          <w:lang w:eastAsia="de-DE"/>
        </w:rPr>
        <w:tab/>
      </w:r>
      <w:r>
        <w:rPr>
          <w:lang w:eastAsia="de-DE"/>
        </w:rPr>
        <w:t>Void.</w:t>
      </w:r>
    </w:p>
    <w:p>
      <w:pPr>
        <w:pStyle w:val="58"/>
        <w:keepLines w:val="0"/>
        <w:widowControl w:val="0"/>
        <w:rPr>
          <w:lang w:eastAsia="de-DE"/>
        </w:rPr>
      </w:pPr>
      <w:r>
        <w:rPr>
          <w:lang w:eastAsia="de-DE"/>
        </w:rPr>
        <w:t>[200] - [206]</w:t>
      </w:r>
      <w:r>
        <w:rPr>
          <w:lang w:eastAsia="de-DE"/>
        </w:rPr>
        <w:tab/>
      </w:r>
      <w:r>
        <w:rPr>
          <w:lang w:eastAsia="de-DE"/>
        </w:rPr>
        <w:t>Void.</w:t>
      </w:r>
    </w:p>
    <w:p>
      <w:pPr>
        <w:pStyle w:val="58"/>
      </w:pPr>
      <w:r>
        <w:t>[207]</w:t>
      </w:r>
      <w:r>
        <w:tab/>
      </w:r>
      <w:r>
        <w:t>3GPP TS 23.078: "Customized Applications for Mobile network Enhanced Logic (CAMEL); Stage 2".</w:t>
      </w:r>
    </w:p>
    <w:p>
      <w:pPr>
        <w:pStyle w:val="58"/>
      </w:pPr>
      <w:r>
        <w:t>[208]</w:t>
      </w:r>
      <w:r>
        <w:tab/>
      </w:r>
      <w:r>
        <w:rPr>
          <w:lang w:bidi="ar-IQ"/>
        </w:rPr>
        <w:t>3GPP TS 23.203: "</w:t>
      </w:r>
      <w:r>
        <w:rPr>
          <w:bCs/>
          <w:lang w:bidi="ar-IQ"/>
        </w:rPr>
        <w:t>Policy and charging control architecture</w:t>
      </w:r>
      <w:r>
        <w:rPr>
          <w:lang w:bidi="ar-IQ"/>
        </w:rPr>
        <w:t>".</w:t>
      </w:r>
    </w:p>
    <w:p>
      <w:pPr>
        <w:pStyle w:val="58"/>
      </w:pPr>
      <w:r>
        <w:t>[209]</w:t>
      </w:r>
      <w:r>
        <w:tab/>
      </w:r>
      <w:r>
        <w:t xml:space="preserve">3GPP TS 23.228:  </w:t>
      </w:r>
      <w:r>
        <w:rPr>
          <w:lang w:eastAsia="de-DE"/>
        </w:rPr>
        <w:t>"</w:t>
      </w:r>
      <w:r>
        <w:t>IP Multimedia Subsystem (IMS); Stage 2</w:t>
      </w:r>
      <w:r>
        <w:rPr>
          <w:lang w:eastAsia="de-DE"/>
        </w:rPr>
        <w:t>".</w:t>
      </w:r>
    </w:p>
    <w:p>
      <w:pPr>
        <w:pStyle w:val="58"/>
      </w:pPr>
      <w:r>
        <w:t>[210]</w:t>
      </w:r>
      <w:r>
        <w:tab/>
      </w:r>
      <w:r>
        <w:t xml:space="preserve"> Void. </w:t>
      </w:r>
    </w:p>
    <w:p>
      <w:pPr>
        <w:pStyle w:val="58"/>
      </w:pPr>
      <w:r>
        <w:t>[211]</w:t>
      </w:r>
      <w:r>
        <w:tab/>
      </w:r>
      <w:r>
        <w:t>3GPP TS 24.229: "Internet Protocol (IP) multimedia call control protocol based on Session Initiation Protocol (SIP) and Session Description Protocol (SDP); Stage 3".</w:t>
      </w:r>
    </w:p>
    <w:p>
      <w:pPr>
        <w:pStyle w:val="58"/>
        <w:widowControl w:val="0"/>
      </w:pPr>
      <w:r>
        <w:t>[212]</w:t>
      </w:r>
      <w:r>
        <w:tab/>
      </w:r>
      <w:r>
        <w:t>3GPP TS 23.272: "Circuit Switched (CS) fallback in Evolved Packet System (EPS); Stage 2".</w:t>
      </w:r>
    </w:p>
    <w:p>
      <w:pPr>
        <w:pStyle w:val="58"/>
      </w:pPr>
      <w:r>
        <w:t xml:space="preserve">[213] </w:t>
      </w:r>
      <w:r>
        <w:tab/>
      </w:r>
      <w:r>
        <w:t xml:space="preserve">3GPP TS 24.002: </w:t>
      </w:r>
      <w:r>
        <w:rPr>
          <w:snapToGrid w:val="0"/>
        </w:rPr>
        <w:t>"</w:t>
      </w:r>
      <w:r>
        <w:t>GSM - UMTS Public Land Mobile Network (PLMN) access reference configuration</w:t>
      </w:r>
      <w:r>
        <w:rPr>
          <w:snapToGrid w:val="0"/>
        </w:rPr>
        <w:t>"</w:t>
      </w:r>
      <w:r>
        <w:t>.</w:t>
      </w:r>
    </w:p>
    <w:p>
      <w:pPr>
        <w:pStyle w:val="58"/>
      </w:pPr>
      <w:r>
        <w:t>[214]</w:t>
      </w:r>
      <w:r>
        <w:tab/>
      </w:r>
      <w:r>
        <w:t>3GPP TS 23.502:"Procedures for the 5G System".</w:t>
      </w:r>
    </w:p>
    <w:p>
      <w:pPr>
        <w:pStyle w:val="58"/>
      </w:pPr>
      <w:r>
        <w:t>[215]</w:t>
      </w:r>
      <w:r>
        <w:tab/>
      </w:r>
      <w:r>
        <w:t>3GPP TS 23.501: "System Architecture for the 5G System; Stage 2".</w:t>
      </w:r>
    </w:p>
    <w:p>
      <w:pPr>
        <w:pStyle w:val="58"/>
      </w:pPr>
      <w:r>
        <w:t>[216]</w:t>
      </w:r>
      <w:r>
        <w:tab/>
      </w:r>
      <w:r>
        <w:t xml:space="preserve">3GPP TS 28.533: "Management and orchestration; Architecture framework". </w:t>
      </w:r>
    </w:p>
    <w:p>
      <w:pPr>
        <w:pStyle w:val="58"/>
      </w:pPr>
      <w:r>
        <w:t>[217]</w:t>
      </w:r>
      <w:r>
        <w:tab/>
      </w:r>
      <w:r>
        <w:t>3GPP TS 23.548: "5G System Enhancements for Edge Computing".</w:t>
      </w:r>
    </w:p>
    <w:p>
      <w:pPr>
        <w:pStyle w:val="58"/>
      </w:pPr>
      <w:r>
        <w:t>[218]</w:t>
      </w:r>
      <w:r>
        <w:tab/>
      </w:r>
      <w:r>
        <w:t>3GPP TS 23.558: "Architecture for enabling Edge Applications".</w:t>
      </w:r>
    </w:p>
    <w:p>
      <w:pPr>
        <w:pStyle w:val="58"/>
      </w:pPr>
      <w:r>
        <w:t>[219] - [297]</w:t>
      </w:r>
      <w:r>
        <w:tab/>
      </w:r>
      <w:r>
        <w:t xml:space="preserve">Void. </w:t>
      </w:r>
    </w:p>
    <w:p>
      <w:pPr>
        <w:pStyle w:val="58"/>
      </w:pPr>
      <w:r>
        <w:t>[298]</w:t>
      </w:r>
      <w:r>
        <w:tab/>
      </w:r>
      <w:r>
        <w:t>EU Roaming regulation III; "Structural Solutions; High Level Technical Specifications".</w:t>
      </w:r>
    </w:p>
    <w:p>
      <w:pPr>
        <w:pStyle w:val="58"/>
      </w:pPr>
      <w:r>
        <w:t>[299]</w:t>
      </w:r>
      <w:r>
        <w:tab/>
      </w:r>
      <w:r>
        <w:t>EU Roaming regulation III; "Interface &amp; Protocol; Detailed Technical Specifications".</w:t>
      </w:r>
    </w:p>
    <w:p>
      <w:pPr>
        <w:pStyle w:val="58"/>
      </w:pPr>
      <w:r>
        <w:t>[300]</w:t>
      </w:r>
      <w:r>
        <w:tab/>
      </w:r>
      <w:r>
        <w:t>ITU-T Recommendation D.93: "Charging and accounting in the international land mobile telephone service (provided via cellular radio systems)".</w:t>
      </w:r>
    </w:p>
    <w:p>
      <w:pPr>
        <w:pStyle w:val="58"/>
      </w:pPr>
      <w:r>
        <w:rPr>
          <w:color w:val="000000"/>
        </w:rPr>
        <w:t xml:space="preserve">[301] - </w:t>
      </w:r>
      <w:r>
        <w:t>[399]</w:t>
      </w:r>
      <w:r>
        <w:tab/>
      </w:r>
      <w:r>
        <w:t>Void.</w:t>
      </w:r>
    </w:p>
    <w:p>
      <w:pPr>
        <w:pStyle w:val="58"/>
      </w:pPr>
      <w:r>
        <w:t>[400] - [401]</w:t>
      </w:r>
      <w:r>
        <w:tab/>
      </w:r>
      <w:r>
        <w:rPr>
          <w:color w:val="000000"/>
        </w:rPr>
        <w:t>Void</w:t>
      </w:r>
      <w:r>
        <w:t>.</w:t>
      </w:r>
    </w:p>
    <w:p>
      <w:pPr>
        <w:pStyle w:val="58"/>
      </w:pPr>
      <w:r>
        <w:t>[402]</w:t>
      </w:r>
      <w:r>
        <w:tab/>
      </w:r>
      <w:r>
        <w:t>IETF RFC 4006 (2005): "Diameter Credit-Control Application".</w:t>
      </w:r>
    </w:p>
    <w:p>
      <w:pPr>
        <w:pStyle w:val="58"/>
        <w:rPr>
          <w:rFonts w:hint="eastAsia"/>
          <w:lang w:eastAsia="zh-CN"/>
        </w:rPr>
      </w:pPr>
      <w:r>
        <w:rPr>
          <w:lang w:bidi="ar-IQ"/>
        </w:rPr>
        <w:t xml:space="preserve">[403] - </w:t>
      </w:r>
      <w:r>
        <w:rPr>
          <w:color w:val="000000"/>
          <w:lang w:bidi="ar-IQ"/>
        </w:rPr>
        <w:t>[499]</w:t>
      </w:r>
      <w:r>
        <w:rPr>
          <w:lang w:bidi="ar-IQ"/>
        </w:rPr>
        <w:tab/>
      </w:r>
      <w:r>
        <w:rPr>
          <w:lang w:bidi="ar-IQ"/>
        </w:rPr>
        <w:t xml:space="preserve">Void. </w:t>
      </w:r>
      <w:r>
        <w:rPr>
          <w:rFonts w:hint="eastAsia"/>
          <w:lang w:bidi="ar-IQ"/>
        </w:rPr>
        <w:t xml:space="preserve"> </w:t>
      </w:r>
    </w:p>
    <w:p>
      <w:pPr>
        <w:pStyle w:val="58"/>
      </w:pPr>
      <w:r>
        <w:t>[</w:t>
      </w:r>
      <w:r>
        <w:rPr>
          <w:rFonts w:hint="eastAsia"/>
          <w:lang w:eastAsia="zh-CN"/>
        </w:rPr>
        <w:t>500</w:t>
      </w:r>
      <w:r>
        <w:t>]</w:t>
      </w:r>
      <w:r>
        <w:tab/>
      </w:r>
      <w:r>
        <w:rPr>
          <w:lang w:eastAsia="zh-CN"/>
        </w:rPr>
        <w:t>GSMA</w:t>
      </w:r>
      <w:r>
        <w:rPr>
          <w:rFonts w:hint="eastAsia"/>
          <w:lang w:eastAsia="zh-CN"/>
        </w:rPr>
        <w:t xml:space="preserve"> </w:t>
      </w:r>
      <w:r>
        <w:rPr>
          <w:lang w:eastAsia="zh-CN"/>
        </w:rPr>
        <w:t>PRD BA.27</w:t>
      </w:r>
      <w:r>
        <w:t>: "Charging Principles".</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4"/>
      </w:pPr>
      <w:r>
        <w:t>4.4.3</w:t>
      </w:r>
      <w:r>
        <w:tab/>
      </w:r>
      <w:r>
        <w:t>Charging services Reference point</w:t>
      </w:r>
      <w:bookmarkEnd w:id="8"/>
      <w:bookmarkEnd w:id="9"/>
    </w:p>
    <w:bookmarkEnd w:id="10"/>
    <w:p>
      <w:r>
        <w:t>The common charging architectures are mapped into the specific domain/subsystem/service charging architectures in the respective middle tier TSs, which contain in their reference point representation, the following reference points:</w:t>
      </w:r>
    </w:p>
    <w:p>
      <w:pPr>
        <w:pStyle w:val="76"/>
        <w:rPr>
          <w:b/>
        </w:rPr>
      </w:pPr>
      <w:r>
        <w:rPr>
          <w:b/>
        </w:rPr>
        <w:t>N28:</w:t>
      </w:r>
      <w:r>
        <w:rPr>
          <w:b/>
        </w:rPr>
        <w:tab/>
      </w:r>
      <w:r>
        <w:t>Reference point between PCF and CHF defined in TS 23.501[215]</w:t>
      </w:r>
      <w:r>
        <w:rPr>
          <w:b/>
        </w:rPr>
        <w:t>.</w:t>
      </w:r>
    </w:p>
    <w:p>
      <w:pPr>
        <w:pStyle w:val="76"/>
      </w:pPr>
      <w:r>
        <w:rPr>
          <w:b/>
        </w:rPr>
        <w:t>N40:</w:t>
      </w:r>
      <w:r>
        <w:tab/>
      </w:r>
      <w:r>
        <w:t>Reference point between SMF and the CHF in the same PLMN defined in clause 4.2 of TS 32.255 [15].</w:t>
      </w:r>
    </w:p>
    <w:p>
      <w:pPr>
        <w:pStyle w:val="76"/>
      </w:pPr>
      <w:r>
        <w:rPr>
          <w:b/>
          <w:bCs/>
        </w:rPr>
        <w:t>N41:</w:t>
      </w:r>
      <w:r>
        <w:tab/>
      </w:r>
      <w:r>
        <w:t>Reference point between AMF and CHF in HPLMN defined in clause 4.2.2 of TS 32.256 [16].</w:t>
      </w:r>
    </w:p>
    <w:p>
      <w:pPr>
        <w:pStyle w:val="76"/>
      </w:pPr>
      <w:r>
        <w:rPr>
          <w:b/>
          <w:bCs/>
        </w:rPr>
        <w:t>N42:</w:t>
      </w:r>
      <w:r>
        <w:tab/>
      </w:r>
      <w:r>
        <w:t>Reference point between AMF and CHF in VPLMN defined in clause 4.2.2 of TS 32.256 [16].</w:t>
      </w:r>
    </w:p>
    <w:p>
      <w:pPr>
        <w:pStyle w:val="76"/>
      </w:pPr>
      <w:r>
        <w:rPr>
          <w:b/>
          <w:bCs/>
        </w:rPr>
        <w:t>N44:</w:t>
      </w:r>
      <w:r>
        <w:tab/>
      </w:r>
      <w:r>
        <w:t>Reference point between NEF and CHF defined in clause 4.4 of TS 32.254 [14].</w:t>
      </w:r>
    </w:p>
    <w:p>
      <w:pPr>
        <w:pStyle w:val="76"/>
      </w:pPr>
      <w:r>
        <w:rPr>
          <w:b/>
          <w:bCs/>
        </w:rPr>
        <w:t>N45:</w:t>
      </w:r>
      <w:r>
        <w:tab/>
      </w:r>
      <w:r>
        <w:t>Reference point between IMS Node and CHF defined in clause 4.4 of TS 32.260 [20].</w:t>
      </w:r>
    </w:p>
    <w:p>
      <w:pPr>
        <w:pStyle w:val="76"/>
      </w:pPr>
      <w:r>
        <w:rPr>
          <w:b/>
          <w:bCs/>
        </w:rPr>
        <w:t>N46:</w:t>
      </w:r>
      <w:r>
        <w:tab/>
      </w:r>
      <w:r>
        <w:t>Reference point between SMSF and CHF defined in clause 4.4 of TS 32.274 [34].</w:t>
      </w:r>
    </w:p>
    <w:p>
      <w:pPr>
        <w:pStyle w:val="76"/>
      </w:pPr>
      <w:r>
        <w:rPr>
          <w:b/>
          <w:bCs/>
        </w:rPr>
        <w:t>N47</w:t>
      </w:r>
      <w:r>
        <w:t xml:space="preserve">: </w:t>
      </w:r>
      <w:r>
        <w:tab/>
      </w:r>
      <w:r>
        <w:t>Reference point between SMF and the CHF in different PLMNs defined in clause 4.2 of TS 32.255 [15].</w:t>
      </w:r>
    </w:p>
    <w:p>
      <w:pPr>
        <w:pStyle w:val="76"/>
      </w:pPr>
      <w:r>
        <w:rPr>
          <w:b/>
          <w:bCs/>
        </w:rPr>
        <w:t>N48</w:t>
      </w:r>
      <w:r>
        <w:t xml:space="preserve">: </w:t>
      </w:r>
      <w:r>
        <w:tab/>
      </w:r>
      <w:r>
        <w:t>Reference point between 5G DDNMF and the CHF in different PLMNs defined in clause 4.4 of TS 32.277 [37].</w:t>
      </w:r>
    </w:p>
    <w:p>
      <w:pPr>
        <w:pStyle w:val="76"/>
      </w:pPr>
      <w:r>
        <w:rPr>
          <w:b/>
          <w:bCs/>
        </w:rPr>
        <w:t>N49</w:t>
      </w:r>
      <w:r>
        <w:t xml:space="preserve">: </w:t>
      </w:r>
      <w:r>
        <w:tab/>
      </w:r>
      <w:r>
        <w:t>Reference point between EES and CHF defined in clause 4.2.3 of TS 32.257 [17].</w:t>
      </w:r>
    </w:p>
    <w:p>
      <w:pPr>
        <w:pStyle w:val="76"/>
        <w:rPr>
          <w:color w:val="000000"/>
        </w:rPr>
      </w:pPr>
      <w:r>
        <w:rPr>
          <w:b/>
          <w:bCs/>
        </w:rPr>
        <w:t>N100</w:t>
      </w:r>
      <w:r>
        <w:t>:</w:t>
      </w:r>
      <w:r>
        <w:tab/>
      </w:r>
      <w:r>
        <w:t>Reference point between MMS node and CHF defined in clause 4.</w:t>
      </w:r>
      <w:r>
        <w:rPr>
          <w:color w:val="000000"/>
        </w:rPr>
        <w:t>4 of TS 32.270 [30].</w:t>
      </w:r>
    </w:p>
    <w:p>
      <w:pPr>
        <w:pStyle w:val="76"/>
      </w:pPr>
      <w:r>
        <w:rPr>
          <w:rFonts w:hint="eastAsia"/>
          <w:b/>
          <w:bCs/>
        </w:rPr>
        <w:t>N1</w:t>
      </w:r>
      <w:r>
        <w:rPr>
          <w:b/>
          <w:bCs/>
        </w:rPr>
        <w:t>01</w:t>
      </w:r>
      <w:r>
        <w:rPr>
          <w:rFonts w:hint="eastAsia"/>
        </w:rPr>
        <w:t>:</w:t>
      </w:r>
      <w:r>
        <w:rPr>
          <w:rFonts w:hint="eastAsia"/>
        </w:rPr>
        <w:tab/>
      </w:r>
      <w:r>
        <w:rPr>
          <w:rFonts w:hint="eastAsia"/>
        </w:rPr>
        <w:t xml:space="preserve">Reference point between MB-SMF and the CHF in the same PLMN defined in clause 4.2 of TS </w:t>
      </w:r>
      <w:del w:id="19" w:author="dj" w:date="2024-04-07T15:21:44Z">
        <w:r>
          <w:rPr>
            <w:rFonts w:hint="default"/>
            <w:lang w:val="en-US"/>
          </w:rPr>
          <w:delText>32.255</w:delText>
        </w:r>
      </w:del>
      <w:ins w:id="20" w:author="dj" w:date="2024-04-07T15:21:44Z">
        <w:r>
          <w:rPr>
            <w:rFonts w:hint="eastAsia"/>
            <w:lang w:val="en-US" w:eastAsia="zh-CN"/>
          </w:rPr>
          <w:t>32</w:t>
        </w:r>
      </w:ins>
      <w:ins w:id="21" w:author="dj" w:date="2024-04-07T15:21:45Z">
        <w:r>
          <w:rPr>
            <w:rFonts w:hint="eastAsia"/>
            <w:lang w:val="en-US" w:eastAsia="zh-CN"/>
          </w:rPr>
          <w:t>.2</w:t>
        </w:r>
      </w:ins>
      <w:ins w:id="22" w:author="dj" w:date="2024-04-07T15:21:46Z">
        <w:r>
          <w:rPr>
            <w:rFonts w:hint="eastAsia"/>
            <w:lang w:val="en-US" w:eastAsia="zh-CN"/>
          </w:rPr>
          <w:t>79</w:t>
        </w:r>
      </w:ins>
      <w:r>
        <w:rPr>
          <w:rFonts w:hint="eastAsia"/>
        </w:rPr>
        <w:t xml:space="preserve"> [</w:t>
      </w:r>
      <w:del w:id="23" w:author="dj" w:date="2024-04-07T09:44:59Z">
        <w:r>
          <w:rPr>
            <w:rFonts w:hint="default"/>
            <w:lang w:val="en-US"/>
          </w:rPr>
          <w:delText>15</w:delText>
        </w:r>
      </w:del>
      <w:ins w:id="24" w:author="dj" w:date="2024-04-07T09:44:59Z">
        <w:r>
          <w:rPr>
            <w:rFonts w:hint="eastAsia"/>
            <w:lang w:val="en-US" w:eastAsia="zh-CN"/>
          </w:rPr>
          <w:t>39</w:t>
        </w:r>
      </w:ins>
      <w:r>
        <w:rPr>
          <w:rFonts w:hint="eastAsia"/>
        </w:rPr>
        <w:t>].</w:t>
      </w:r>
    </w:p>
    <w:p>
      <w:pPr>
        <w:pStyle w:val="76"/>
        <w:rPr>
          <w:color w:val="000000"/>
        </w:rPr>
      </w:pPr>
      <w:r>
        <w:rPr>
          <w:b/>
          <w:bCs/>
        </w:rPr>
        <w:t>N102</w:t>
      </w:r>
      <w:r>
        <w:t>:</w:t>
      </w:r>
      <w:r>
        <w:tab/>
      </w:r>
      <w:r>
        <w:t>Reference point between NSACF and the CHF defined in clause 4.2.1</w:t>
      </w:r>
      <w:r>
        <w:rPr>
          <w:color w:val="000000"/>
        </w:rPr>
        <w:t xml:space="preserve"> of TS 28.203 [72].</w:t>
      </w:r>
    </w:p>
    <w:p>
      <w:pPr>
        <w:pStyle w:val="76"/>
        <w:rPr>
          <w:color w:val="000000"/>
        </w:rPr>
      </w:pPr>
      <w:r>
        <w:rPr>
          <w:b/>
          <w:bCs/>
        </w:rPr>
        <w:t>N103</w:t>
      </w:r>
      <w:r>
        <w:t>:</w:t>
      </w:r>
      <w:r>
        <w:tab/>
      </w:r>
      <w:r>
        <w:t>Reference point between NSSAAF and the CHF defined in clause 4.2.1</w:t>
      </w:r>
      <w:r>
        <w:rPr>
          <w:color w:val="000000"/>
        </w:rPr>
        <w:t xml:space="preserve"> of TS 28.204 [73].</w:t>
      </w:r>
    </w:p>
    <w:p>
      <w:pPr>
        <w:pStyle w:val="76"/>
      </w:pPr>
      <w:r>
        <w:rPr>
          <w:b/>
          <w:bCs/>
        </w:rPr>
        <w:t>N104</w:t>
      </w:r>
      <w:r>
        <w:t>:</w:t>
      </w:r>
      <w:r>
        <w:tab/>
      </w:r>
      <w:r>
        <w:t xml:space="preserve">Reference point between </w:t>
      </w:r>
      <w:r>
        <w:rPr>
          <w:rFonts w:hint="eastAsia"/>
        </w:rPr>
        <w:t>TSN</w:t>
      </w:r>
      <w:r>
        <w:t xml:space="preserve"> </w:t>
      </w:r>
      <w:r>
        <w:rPr>
          <w:rFonts w:hint="eastAsia"/>
        </w:rPr>
        <w:t>AF</w:t>
      </w:r>
      <w:r>
        <w:t xml:space="preserve"> </w:t>
      </w:r>
      <w:r>
        <w:rPr>
          <w:rFonts w:hint="eastAsia"/>
        </w:rPr>
        <w:t>and</w:t>
      </w:r>
      <w:r>
        <w:t xml:space="preserve"> </w:t>
      </w:r>
      <w:r>
        <w:rPr>
          <w:rFonts w:hint="eastAsia"/>
        </w:rPr>
        <w:t>CHF</w:t>
      </w:r>
      <w:r>
        <w:t xml:space="preserve"> defined in clause 4.2 of TS 32.282 </w:t>
      </w:r>
      <w:bookmarkStart w:id="11" w:name="_GoBack"/>
      <w:bookmarkEnd w:id="11"/>
      <w:r>
        <w:t>[42].</w:t>
      </w:r>
    </w:p>
    <w:p>
      <w:pPr>
        <w:pStyle w:val="76"/>
      </w:pPr>
      <w:r>
        <w:rPr>
          <w:b/>
          <w:bCs/>
        </w:rPr>
        <w:t>N105</w:t>
      </w:r>
      <w:r>
        <w:t>:</w:t>
      </w:r>
      <w:r>
        <w:tab/>
      </w:r>
      <w:r>
        <w:t xml:space="preserve">Reference point between TSCTSF </w:t>
      </w:r>
      <w:r>
        <w:rPr>
          <w:rFonts w:hint="eastAsia"/>
        </w:rPr>
        <w:t>and</w:t>
      </w:r>
      <w:r>
        <w:t xml:space="preserve"> </w:t>
      </w:r>
      <w:r>
        <w:rPr>
          <w:rFonts w:hint="eastAsia"/>
        </w:rPr>
        <w:t>CHF</w:t>
      </w:r>
      <w:r>
        <w:t xml:space="preserve"> defined in clause 4.2 of TS 32.282 [42].</w:t>
      </w:r>
    </w:p>
    <w:p>
      <w:pPr>
        <w:pStyle w:val="76"/>
      </w:pPr>
      <w:r>
        <w:rPr>
          <w:b/>
          <w:bCs/>
        </w:rPr>
        <w:t>N107</w:t>
      </w:r>
      <w:r>
        <w:t>:</w:t>
      </w:r>
      <w:r>
        <w:tab/>
      </w:r>
      <w:r>
        <w:t xml:space="preserve">Reference point between two CHFs </w:t>
      </w:r>
      <w:r>
        <w:rPr>
          <w:rFonts w:hint="eastAsia"/>
        </w:rPr>
        <w:t>defined in clause 4.2 of TS 32.255 [15]</w:t>
      </w:r>
      <w:r>
        <w:t xml:space="preserve"> and clause 4.2.2 of TS 32.256 [16]</w:t>
      </w:r>
    </w:p>
    <w:p>
      <w:pPr>
        <w:pStyle w:val="65"/>
      </w:pPr>
    </w:p>
    <w:p>
      <w:pPr>
        <w:pStyle w:val="65"/>
      </w:pPr>
    </w:p>
    <w:bookmarkEnd w:id="5"/>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92"/>
    <w:rsid w:val="00074FE6"/>
    <w:rsid w:val="000759BE"/>
    <w:rsid w:val="000A6394"/>
    <w:rsid w:val="000B7FED"/>
    <w:rsid w:val="000C038A"/>
    <w:rsid w:val="000C6598"/>
    <w:rsid w:val="00121E18"/>
    <w:rsid w:val="00145D43"/>
    <w:rsid w:val="00177C5E"/>
    <w:rsid w:val="00192C46"/>
    <w:rsid w:val="001A08B3"/>
    <w:rsid w:val="001A7B60"/>
    <w:rsid w:val="001B1D52"/>
    <w:rsid w:val="001B52F0"/>
    <w:rsid w:val="001B7A65"/>
    <w:rsid w:val="001E41F3"/>
    <w:rsid w:val="00234420"/>
    <w:rsid w:val="0026004D"/>
    <w:rsid w:val="002640DD"/>
    <w:rsid w:val="00274EEC"/>
    <w:rsid w:val="00275D12"/>
    <w:rsid w:val="00284FEB"/>
    <w:rsid w:val="002860C4"/>
    <w:rsid w:val="002B5741"/>
    <w:rsid w:val="00305409"/>
    <w:rsid w:val="00341454"/>
    <w:rsid w:val="003609EF"/>
    <w:rsid w:val="0036231A"/>
    <w:rsid w:val="00374DD4"/>
    <w:rsid w:val="003E1A36"/>
    <w:rsid w:val="00410371"/>
    <w:rsid w:val="004242F1"/>
    <w:rsid w:val="004B75B7"/>
    <w:rsid w:val="0051580D"/>
    <w:rsid w:val="00526F94"/>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15058"/>
    <w:rsid w:val="008279FA"/>
    <w:rsid w:val="008626E7"/>
    <w:rsid w:val="00870EE7"/>
    <w:rsid w:val="008863B9"/>
    <w:rsid w:val="008A45A6"/>
    <w:rsid w:val="008F686C"/>
    <w:rsid w:val="009148DE"/>
    <w:rsid w:val="009316F0"/>
    <w:rsid w:val="00941E30"/>
    <w:rsid w:val="009777D9"/>
    <w:rsid w:val="009816E1"/>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C7F3D"/>
    <w:rsid w:val="00D03F9A"/>
    <w:rsid w:val="00D06D51"/>
    <w:rsid w:val="00D24991"/>
    <w:rsid w:val="00D50255"/>
    <w:rsid w:val="00D66520"/>
    <w:rsid w:val="00DE34CF"/>
    <w:rsid w:val="00E13F3D"/>
    <w:rsid w:val="00E34898"/>
    <w:rsid w:val="00EB09B7"/>
    <w:rsid w:val="00EE7D7C"/>
    <w:rsid w:val="00F25D98"/>
    <w:rsid w:val="00F300FB"/>
    <w:rsid w:val="00FB2829"/>
    <w:rsid w:val="00FB6386"/>
    <w:rsid w:val="02001C81"/>
    <w:rsid w:val="021D3C05"/>
    <w:rsid w:val="0340090F"/>
    <w:rsid w:val="050823A9"/>
    <w:rsid w:val="05C54070"/>
    <w:rsid w:val="07402F73"/>
    <w:rsid w:val="0B1715F0"/>
    <w:rsid w:val="10EB1450"/>
    <w:rsid w:val="1E5959FC"/>
    <w:rsid w:val="1ED57685"/>
    <w:rsid w:val="20B96BBD"/>
    <w:rsid w:val="224240C3"/>
    <w:rsid w:val="24EA14E7"/>
    <w:rsid w:val="281D11E1"/>
    <w:rsid w:val="28D9066C"/>
    <w:rsid w:val="295B6DE6"/>
    <w:rsid w:val="2B107731"/>
    <w:rsid w:val="2D953FD8"/>
    <w:rsid w:val="2DDC0B49"/>
    <w:rsid w:val="2E086516"/>
    <w:rsid w:val="3065391B"/>
    <w:rsid w:val="31C77827"/>
    <w:rsid w:val="326E63CA"/>
    <w:rsid w:val="32AF4CFB"/>
    <w:rsid w:val="35335C58"/>
    <w:rsid w:val="3A675260"/>
    <w:rsid w:val="3E661EED"/>
    <w:rsid w:val="40E012FC"/>
    <w:rsid w:val="4CEA2D39"/>
    <w:rsid w:val="4D643AE8"/>
    <w:rsid w:val="513B5867"/>
    <w:rsid w:val="53412C35"/>
    <w:rsid w:val="56B25C16"/>
    <w:rsid w:val="574170D7"/>
    <w:rsid w:val="59051085"/>
    <w:rsid w:val="59C40E4B"/>
    <w:rsid w:val="5BEB56DE"/>
    <w:rsid w:val="5DF253E9"/>
    <w:rsid w:val="5E325597"/>
    <w:rsid w:val="62C9132B"/>
    <w:rsid w:val="634877EE"/>
    <w:rsid w:val="6569656F"/>
    <w:rsid w:val="6786694D"/>
    <w:rsid w:val="69E676CD"/>
    <w:rsid w:val="6D212198"/>
    <w:rsid w:val="7026774D"/>
    <w:rsid w:val="7039730F"/>
    <w:rsid w:val="71C54335"/>
    <w:rsid w:val="742C2525"/>
    <w:rsid w:val="797A0159"/>
    <w:rsid w:val="7A0400BD"/>
    <w:rsid w:val="7CDC3F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93"/>
    <w:qFormat/>
    <w:uiPriority w:val="9"/>
    <w:pPr>
      <w:spacing w:before="120"/>
      <w:outlineLvl w:val="2"/>
    </w:pPr>
    <w:rPr>
      <w:sz w:val="28"/>
    </w:rPr>
  </w:style>
  <w:style w:type="paragraph" w:styleId="5">
    <w:name w:val="heading 4"/>
    <w:basedOn w:val="4"/>
    <w:next w:val="1"/>
    <w:link w:val="9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6"/>
    <w:qFormat/>
    <w:uiPriority w:val="0"/>
    <w:pPr>
      <w:shd w:val="clear" w:color="auto" w:fill="000080"/>
    </w:pPr>
    <w:rPr>
      <w:rFonts w:ascii="Tahoma" w:hAnsi="Tahoma" w:cs="Tahoma"/>
    </w:rPr>
  </w:style>
  <w:style w:type="paragraph" w:styleId="29">
    <w:name w:val="annotation text"/>
    <w:basedOn w:val="1"/>
    <w:link w:val="90"/>
    <w:qFormat/>
    <w:uiPriority w:val="0"/>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92"/>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link w:val="108"/>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91"/>
    <w:qFormat/>
    <w:uiPriority w:val="0"/>
    <w:rPr>
      <w:b/>
      <w:bCs/>
    </w:rPr>
  </w:style>
  <w:style w:type="character" w:styleId="44">
    <w:name w:val="FollowedHyperlink"/>
    <w:qFormat/>
    <w:uiPriority w:val="0"/>
    <w:rPr>
      <w:color w:val="800080"/>
      <w:u w:val="single"/>
    </w:rPr>
  </w:style>
  <w:style w:type="character" w:styleId="45">
    <w:name w:val="Hyperlink"/>
    <w:qFormat/>
    <w:uiPriority w:val="99"/>
    <w:rPr>
      <w:color w:val="0000FF"/>
      <w:u w:val="single"/>
    </w:rPr>
  </w:style>
  <w:style w:type="character" w:styleId="46">
    <w:name w:val="annotation reference"/>
    <w:qFormat/>
    <w:uiPriority w:val="0"/>
    <w:rPr>
      <w:sz w:val="16"/>
    </w:rPr>
  </w:style>
  <w:style w:type="character" w:styleId="47">
    <w:name w:val="footnote reference"/>
    <w:qFormat/>
    <w:uiPriority w:val="0"/>
    <w:rPr>
      <w:b/>
      <w:position w:val="6"/>
      <w:sz w:val="16"/>
    </w:rPr>
  </w:style>
  <w:style w:type="character" w:customStyle="1" w:styleId="48">
    <w:name w:val="标题 2 字符"/>
    <w:qFormat/>
    <w:uiPriority w:val="0"/>
    <w:rPr>
      <w:rFonts w:ascii="Arial" w:hAnsi="Arial"/>
      <w:sz w:val="32"/>
      <w:lang w:val="en-GB" w:eastAsia="en-US"/>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7"/>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97"/>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107"/>
    <w:qFormat/>
    <w:uiPriority w:val="0"/>
    <w:pPr>
      <w:keepLines/>
      <w:ind w:left="1135" w:hanging="851"/>
    </w:pPr>
  </w:style>
  <w:style w:type="paragraph" w:customStyle="1" w:styleId="58">
    <w:name w:val="EX"/>
    <w:basedOn w:val="1"/>
    <w:link w:val="98"/>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11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6"/>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14"/>
    <w:link w:val="95"/>
    <w:qFormat/>
    <w:uiPriority w:val="0"/>
  </w:style>
  <w:style w:type="paragraph" w:customStyle="1" w:styleId="77">
    <w:name w:val="B2"/>
    <w:basedOn w:val="13"/>
    <w:link w:val="112"/>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TAL Char"/>
    <w:link w:val="54"/>
    <w:qFormat/>
    <w:uiPriority w:val="0"/>
    <w:rPr>
      <w:rFonts w:ascii="Arial" w:hAnsi="Arial"/>
      <w:sz w:val="18"/>
      <w:lang w:val="en-GB" w:eastAsia="en-US"/>
    </w:rPr>
  </w:style>
  <w:style w:type="character" w:customStyle="1" w:styleId="85">
    <w:name w:val="TH Char"/>
    <w:link w:val="56"/>
    <w:qFormat/>
    <w:uiPriority w:val="0"/>
    <w:rPr>
      <w:rFonts w:ascii="Arial" w:hAnsi="Arial"/>
      <w:b/>
      <w:lang w:val="en-GB" w:eastAsia="en-US"/>
    </w:rPr>
  </w:style>
  <w:style w:type="character" w:customStyle="1" w:styleId="86">
    <w:name w:val="TAH Char"/>
    <w:link w:val="52"/>
    <w:qFormat/>
    <w:uiPriority w:val="0"/>
    <w:rPr>
      <w:rFonts w:ascii="Arial" w:hAnsi="Arial"/>
      <w:b/>
      <w:sz w:val="18"/>
      <w:lang w:val="en-GB" w:eastAsia="en-US"/>
    </w:rPr>
  </w:style>
  <w:style w:type="character" w:customStyle="1" w:styleId="87">
    <w:name w:val="TAC Char"/>
    <w:link w:val="53"/>
    <w:qFormat/>
    <w:uiPriority w:val="0"/>
    <w:rPr>
      <w:rFonts w:ascii="Arial" w:hAnsi="Arial"/>
      <w:sz w:val="18"/>
      <w:lang w:val="en-GB" w:eastAsia="en-US"/>
    </w:rPr>
  </w:style>
  <w:style w:type="paragraph" w:customStyle="1" w:styleId="88">
    <w:name w:val="TAJ"/>
    <w:basedOn w:val="56"/>
    <w:qFormat/>
    <w:uiPriority w:val="0"/>
    <w:rPr>
      <w:rFonts w:eastAsia="宋体"/>
    </w:rPr>
  </w:style>
  <w:style w:type="paragraph" w:customStyle="1" w:styleId="89">
    <w:name w:val="Guidance"/>
    <w:basedOn w:val="1"/>
    <w:qFormat/>
    <w:uiPriority w:val="0"/>
    <w:rPr>
      <w:rFonts w:eastAsia="宋体"/>
      <w:i/>
      <w:color w:val="0000FF"/>
    </w:rPr>
  </w:style>
  <w:style w:type="character" w:customStyle="1" w:styleId="90">
    <w:name w:val="批注文字 字符"/>
    <w:link w:val="29"/>
    <w:qFormat/>
    <w:uiPriority w:val="0"/>
    <w:rPr>
      <w:rFonts w:ascii="Times New Roman" w:hAnsi="Times New Roman"/>
      <w:lang w:val="en-GB" w:eastAsia="en-US"/>
    </w:rPr>
  </w:style>
  <w:style w:type="character" w:customStyle="1" w:styleId="91">
    <w:name w:val="批注主题 字符"/>
    <w:link w:val="41"/>
    <w:qFormat/>
    <w:uiPriority w:val="0"/>
    <w:rPr>
      <w:rFonts w:ascii="Times New Roman" w:hAnsi="Times New Roman"/>
      <w:b/>
      <w:bCs/>
      <w:lang w:val="en-GB" w:eastAsia="en-US"/>
    </w:rPr>
  </w:style>
  <w:style w:type="character" w:customStyle="1" w:styleId="92">
    <w:name w:val="批注框文本 字符"/>
    <w:link w:val="32"/>
    <w:qFormat/>
    <w:uiPriority w:val="0"/>
    <w:rPr>
      <w:rFonts w:ascii="Tahoma" w:hAnsi="Tahoma" w:cs="Tahoma"/>
      <w:sz w:val="16"/>
      <w:szCs w:val="16"/>
      <w:lang w:val="en-GB" w:eastAsia="en-US"/>
    </w:rPr>
  </w:style>
  <w:style w:type="character" w:customStyle="1" w:styleId="93">
    <w:name w:val="标题 3 字符"/>
    <w:link w:val="4"/>
    <w:qFormat/>
    <w:locked/>
    <w:uiPriority w:val="9"/>
    <w:rPr>
      <w:rFonts w:ascii="Arial" w:hAnsi="Arial"/>
      <w:sz w:val="28"/>
      <w:lang w:val="en-GB" w:eastAsia="en-US"/>
    </w:rPr>
  </w:style>
  <w:style w:type="character" w:customStyle="1" w:styleId="94">
    <w:name w:val="Editor's Note Zchn"/>
    <w:link w:val="75"/>
    <w:qFormat/>
    <w:uiPriority w:val="0"/>
    <w:rPr>
      <w:rFonts w:ascii="Times New Roman" w:hAnsi="Times New Roman"/>
      <w:color w:val="FF0000"/>
      <w:lang w:val="en-GB" w:eastAsia="en-US"/>
    </w:rPr>
  </w:style>
  <w:style w:type="character" w:customStyle="1" w:styleId="95">
    <w:name w:val="B1 Char"/>
    <w:link w:val="76"/>
    <w:qFormat/>
    <w:uiPriority w:val="0"/>
    <w:rPr>
      <w:rFonts w:ascii="Times New Roman" w:hAnsi="Times New Roman"/>
      <w:lang w:val="en-GB" w:eastAsia="en-US"/>
    </w:rPr>
  </w:style>
  <w:style w:type="character" w:customStyle="1" w:styleId="96">
    <w:name w:val="标题 4 字符"/>
    <w:link w:val="5"/>
    <w:qFormat/>
    <w:locked/>
    <w:uiPriority w:val="0"/>
    <w:rPr>
      <w:rFonts w:ascii="Arial" w:hAnsi="Arial"/>
      <w:sz w:val="24"/>
      <w:lang w:val="en-GB" w:eastAsia="en-US"/>
    </w:rPr>
  </w:style>
  <w:style w:type="character" w:customStyle="1" w:styleId="97">
    <w:name w:val="TF Char"/>
    <w:link w:val="55"/>
    <w:qFormat/>
    <w:uiPriority w:val="0"/>
    <w:rPr>
      <w:rFonts w:ascii="Arial" w:hAnsi="Arial"/>
      <w:b/>
      <w:lang w:val="en-GB" w:eastAsia="en-US"/>
    </w:rPr>
  </w:style>
  <w:style w:type="character" w:customStyle="1" w:styleId="98">
    <w:name w:val="EX Car"/>
    <w:link w:val="58"/>
    <w:qFormat/>
    <w:uiPriority w:val="0"/>
    <w:rPr>
      <w:rFonts w:ascii="Times New Roman" w:hAnsi="Times New Roman"/>
      <w:lang w:val="en-GB" w:eastAsia="en-US"/>
    </w:rPr>
  </w:style>
  <w:style w:type="character" w:customStyle="1" w:styleId="99">
    <w:name w:val="TAL Char1"/>
    <w:qFormat/>
    <w:uiPriority w:val="0"/>
    <w:rPr>
      <w:rFonts w:ascii="Arial" w:hAnsi="Arial"/>
      <w:sz w:val="18"/>
      <w:lang w:val="en-GB" w:eastAsia="en-US"/>
    </w:rPr>
  </w:style>
  <w:style w:type="character" w:customStyle="1" w:styleId="100">
    <w:name w:val="Editor's Note Char"/>
    <w:qFormat/>
    <w:uiPriority w:val="0"/>
    <w:rPr>
      <w:rFonts w:ascii="Times New Roman" w:hAnsi="Times New Roman"/>
      <w:color w:val="FF0000"/>
      <w:lang w:val="en-GB" w:eastAsia="en-US"/>
    </w:rPr>
  </w:style>
  <w:style w:type="character" w:customStyle="1" w:styleId="101">
    <w:name w:val="TAH Car"/>
    <w:qFormat/>
    <w:uiPriority w:val="0"/>
    <w:rPr>
      <w:rFonts w:ascii="Arial" w:hAnsi="Arial"/>
      <w:b/>
      <w:sz w:val="18"/>
      <w:lang w:val="en-GB" w:eastAsia="en-US"/>
    </w:rPr>
  </w:style>
  <w:style w:type="character" w:customStyle="1" w:styleId="102">
    <w:name w:val="标题 2 字符1"/>
    <w:link w:val="3"/>
    <w:qFormat/>
    <w:uiPriority w:val="0"/>
    <w:rPr>
      <w:rFonts w:ascii="Arial" w:hAnsi="Arial"/>
      <w:sz w:val="32"/>
      <w:lang w:val="en-GB" w:eastAsia="en-US"/>
    </w:rPr>
  </w:style>
  <w:style w:type="paragraph" w:customStyle="1" w:styleId="103">
    <w:name w:val="修订1"/>
    <w:hidden/>
    <w:semiHidden/>
    <w:qFormat/>
    <w:uiPriority w:val="99"/>
    <w:rPr>
      <w:rFonts w:ascii="Times New Roman" w:hAnsi="Times New Roman" w:eastAsia="宋体" w:cs="Times New Roman"/>
      <w:lang w:val="en-GB" w:eastAsia="en-US" w:bidi="ar-SA"/>
    </w:rPr>
  </w:style>
  <w:style w:type="character" w:customStyle="1" w:styleId="104">
    <w:name w:val="标题 3 Char"/>
    <w:qFormat/>
    <w:locked/>
    <w:uiPriority w:val="9"/>
    <w:rPr>
      <w:rFonts w:ascii="Arial" w:hAnsi="Arial"/>
      <w:sz w:val="28"/>
      <w:lang w:val="en-GB"/>
    </w:rPr>
  </w:style>
  <w:style w:type="character" w:customStyle="1" w:styleId="105">
    <w:name w:val="标题 4 Char"/>
    <w:qFormat/>
    <w:locked/>
    <w:uiPriority w:val="0"/>
    <w:rPr>
      <w:rFonts w:ascii="Arial" w:hAnsi="Arial"/>
      <w:sz w:val="24"/>
      <w:lang w:val="en-GB"/>
    </w:rPr>
  </w:style>
  <w:style w:type="character" w:customStyle="1" w:styleId="106">
    <w:name w:val="TAN Char"/>
    <w:link w:val="67"/>
    <w:qFormat/>
    <w:uiPriority w:val="0"/>
    <w:rPr>
      <w:rFonts w:ascii="Arial" w:hAnsi="Arial"/>
      <w:sz w:val="18"/>
      <w:lang w:val="en-GB" w:eastAsia="en-US"/>
    </w:rPr>
  </w:style>
  <w:style w:type="character" w:customStyle="1" w:styleId="107">
    <w:name w:val="NO Zchn"/>
    <w:link w:val="57"/>
    <w:qFormat/>
    <w:uiPriority w:val="0"/>
    <w:rPr>
      <w:rFonts w:ascii="Times New Roman" w:hAnsi="Times New Roman"/>
      <w:lang w:val="en-GB" w:eastAsia="en-US"/>
    </w:rPr>
  </w:style>
  <w:style w:type="character" w:customStyle="1" w:styleId="108">
    <w:name w:val="脚注文本 字符"/>
    <w:link w:val="35"/>
    <w:qFormat/>
    <w:uiPriority w:val="0"/>
    <w:rPr>
      <w:rFonts w:ascii="Times New Roman" w:hAnsi="Times New Roman"/>
      <w:sz w:val="16"/>
      <w:lang w:val="en-GB" w:eastAsia="en-US"/>
    </w:rPr>
  </w:style>
  <w:style w:type="paragraph" w:customStyle="1" w:styleId="109">
    <w:name w:val="code"/>
    <w:basedOn w:val="1"/>
    <w:qFormat/>
    <w:uiPriority w:val="0"/>
    <w:pPr>
      <w:overflowPunct w:val="0"/>
      <w:autoSpaceDE w:val="0"/>
      <w:autoSpaceDN w:val="0"/>
      <w:adjustRightInd w:val="0"/>
      <w:spacing w:after="0"/>
      <w:textAlignment w:val="baseline"/>
    </w:pPr>
    <w:rPr>
      <w:rFonts w:ascii="Courier New" w:hAnsi="Courier New" w:eastAsia="宋体"/>
    </w:rPr>
  </w:style>
  <w:style w:type="character" w:customStyle="1" w:styleId="110">
    <w:name w:val="msoins"/>
    <w:basedOn w:val="43"/>
    <w:qFormat/>
    <w:uiPriority w:val="0"/>
  </w:style>
  <w:style w:type="paragraph" w:customStyle="1" w:styleId="111">
    <w:name w:val="Reference"/>
    <w:basedOn w:val="1"/>
    <w:qFormat/>
    <w:uiPriority w:val="0"/>
    <w:pPr>
      <w:tabs>
        <w:tab w:val="left" w:pos="851"/>
      </w:tabs>
      <w:ind w:left="851" w:hanging="851"/>
    </w:pPr>
    <w:rPr>
      <w:rFonts w:eastAsia="宋体"/>
    </w:rPr>
  </w:style>
  <w:style w:type="character" w:customStyle="1" w:styleId="112">
    <w:name w:val="B2 Char"/>
    <w:link w:val="77"/>
    <w:qFormat/>
    <w:uiPriority w:val="0"/>
    <w:rPr>
      <w:rFonts w:ascii="Times New Roman" w:hAnsi="Times New Roman"/>
      <w:lang w:val="en-GB" w:eastAsia="en-US"/>
    </w:rPr>
  </w:style>
  <w:style w:type="character" w:customStyle="1" w:styleId="113">
    <w:name w:val="批注文字 Char"/>
    <w:qFormat/>
    <w:uiPriority w:val="0"/>
    <w:rPr>
      <w:rFonts w:ascii="Times New Roman" w:hAnsi="Times New Roman"/>
      <w:lang w:val="en-GB" w:eastAsia="en-US"/>
    </w:rPr>
  </w:style>
  <w:style w:type="character" w:customStyle="1" w:styleId="114">
    <w:name w:val="文档结构图 Char"/>
    <w:qFormat/>
    <w:uiPriority w:val="0"/>
    <w:rPr>
      <w:rFonts w:ascii="Microsoft YaHei UI" w:eastAsia="Microsoft YaHei UI"/>
      <w:sz w:val="18"/>
      <w:szCs w:val="18"/>
      <w:lang w:val="en-GB" w:eastAsia="en-US"/>
    </w:rPr>
  </w:style>
  <w:style w:type="character" w:customStyle="1" w:styleId="115">
    <w:name w:val="文档结构图 字符"/>
    <w:qFormat/>
    <w:uiPriority w:val="0"/>
    <w:rPr>
      <w:rFonts w:ascii="Microsoft YaHei UI" w:hAnsi="Times New Roman" w:eastAsia="Microsoft YaHei UI"/>
      <w:sz w:val="18"/>
      <w:szCs w:val="18"/>
      <w:lang w:val="en-GB" w:eastAsia="en-US"/>
    </w:rPr>
  </w:style>
  <w:style w:type="character" w:customStyle="1" w:styleId="116">
    <w:name w:val="文档结构图 字符1"/>
    <w:link w:val="28"/>
    <w:qFormat/>
    <w:uiPriority w:val="0"/>
    <w:rPr>
      <w:rFonts w:ascii="Tahoma" w:hAnsi="Tahoma" w:cs="Tahoma"/>
      <w:shd w:val="clear" w:color="auto" w:fill="000080"/>
      <w:lang w:val="en-GB" w:eastAsia="en-US"/>
    </w:rPr>
  </w:style>
  <w:style w:type="character" w:customStyle="1" w:styleId="117">
    <w:name w:val="批注主题 Char"/>
    <w:qFormat/>
    <w:uiPriority w:val="0"/>
  </w:style>
  <w:style w:type="character" w:customStyle="1" w:styleId="118">
    <w:name w:val="PL Char"/>
    <w:link w:val="65"/>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EB5AD-1405-4BC8-8D21-2590CD90756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39</Pages>
  <Words>14094</Words>
  <Characters>80341</Characters>
  <Lines>669</Lines>
  <Paragraphs>188</Paragraphs>
  <TotalTime>1</TotalTime>
  <ScaleCrop>false</ScaleCrop>
  <LinksUpToDate>false</LinksUpToDate>
  <CharactersWithSpaces>94247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dj</cp:lastModifiedBy>
  <cp:lastPrinted>2411-12-31T15:59:00Z</cp:lastPrinted>
  <dcterms:modified xsi:type="dcterms:W3CDTF">2024-04-07T07:21:49Z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S5-197439</vt:lpwstr>
  </property>
  <property fmtid="{D5CDD505-2E9C-101B-9397-08002B2CF9AE}" pid="10" name="Spec#">
    <vt:lpwstr>32.291</vt:lpwstr>
  </property>
  <property fmtid="{D5CDD505-2E9C-101B-9397-08002B2CF9AE}" pid="11" name="Cr#">
    <vt:lpwstr>0194</vt:lpwstr>
  </property>
  <property fmtid="{D5CDD505-2E9C-101B-9397-08002B2CF9AE}" pid="12" name="Revision">
    <vt:lpwstr>-</vt:lpwstr>
  </property>
  <property fmtid="{D5CDD505-2E9C-101B-9397-08002B2CF9AE}" pid="13" name="Version">
    <vt:lpwstr>16.1.1</vt:lpwstr>
  </property>
  <property fmtid="{D5CDD505-2E9C-101B-9397-08002B2CF9AE}" pid="14" name="CrTitle">
    <vt:lpwstr>Rel-16 CR 32.291 Add serving node information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ETSUN</vt:lpwstr>
  </property>
  <property fmtid="{D5CDD505-2E9C-101B-9397-08002B2CF9AE}" pid="18" name="Cat">
    <vt:lpwstr>B</vt:lpwstr>
  </property>
  <property fmtid="{D5CDD505-2E9C-101B-9397-08002B2CF9AE}" pid="19" name="ResDate">
    <vt:lpwstr>2019-11-08</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329FC7DE5DF84E45A6850B6F96494939</vt:lpwstr>
  </property>
  <property fmtid="{D5CDD505-2E9C-101B-9397-08002B2CF9AE}" pid="23" name="_2015_ms_pID_725343">
    <vt:lpwstr>(3)9aFBPS6wNWKHTJq+AN7E3S60Jn+dGppDaL0V5LOJUlN9hamcmIOAlzpiVjOBBIpG4HQ8Jm7v
47WembL7ZhmH+LFhzvvwHodC4drm6rDJm6VACd/UAQMwGcFdQx9822eIB7r6Hrs13oiFg+Gw
far9ep/wzo8NmIclCKQd9E1nWlYWBNocCj7X6jVjN9utxVWBYY631a6rVNTvhK2mFXuZtdwg
dF1uMiD0TMGJjc+lT9</vt:lpwstr>
  </property>
  <property fmtid="{D5CDD505-2E9C-101B-9397-08002B2CF9AE}" pid="24" name="_2015_ms_pID_7253431">
    <vt:lpwstr>ZdIjoGaAvry9Ze1rIRVYEQh64hrluM96Y81EgL7f+UFf4p2UZcDOcG
/PpM60BF0CwaleuYKUlAd7TdKrN784SgiK3v4qmb4YqQy0QnJkfItOZ8RnCxXVxJ6XWrV7Dr
x1RIbzsZu9QToFkNOhUX+L4aqwTZ7fQvre0zAHKW7AqPbYrDnxQHT1n4qJXFaL1YaGK3f/QU
7xFPtjTHjyvNKPLC7OQxTbUM655dvOLUV8V+</vt:lpwstr>
  </property>
  <property fmtid="{D5CDD505-2E9C-101B-9397-08002B2CF9AE}" pid="25" name="_2015_ms_pID_7253432">
    <vt:lpwstr>pw==</vt:lpwstr>
  </property>
</Properties>
</file>